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6CDD" w14:textId="3A14D616" w:rsidR="001A6F41" w:rsidRPr="00AA67B8" w:rsidRDefault="001A6F41">
      <w:pPr>
        <w:rPr>
          <w:rFonts w:ascii="Segoe UI" w:hAnsi="Segoe UI" w:cs="Segoe UI"/>
          <w:b/>
          <w:bCs/>
          <w:sz w:val="28"/>
          <w:szCs w:val="28"/>
          <w:lang w:val="en-US"/>
        </w:rPr>
      </w:pPr>
      <w:r w:rsidRPr="00AA67B8">
        <w:rPr>
          <w:rFonts w:ascii="Segoe UI" w:hAnsi="Segoe UI" w:cs="Segoe UI"/>
          <w:b/>
          <w:bCs/>
          <w:sz w:val="28"/>
          <w:szCs w:val="28"/>
          <w:lang w:val="en-US"/>
        </w:rPr>
        <w:t xml:space="preserve">Legacy Status Note </w:t>
      </w:r>
      <w:r w:rsidR="00162654" w:rsidRPr="00AA67B8">
        <w:rPr>
          <w:rFonts w:ascii="Segoe UI" w:hAnsi="Segoe UI" w:cs="Segoe UI"/>
          <w:b/>
          <w:bCs/>
          <w:sz w:val="28"/>
          <w:szCs w:val="28"/>
          <w:lang w:val="en-US"/>
        </w:rPr>
        <w:t>in response to 2026 Part 8 Code Amendments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2654" w14:paraId="58CD0309" w14:textId="77777777" w:rsidTr="00162654">
        <w:tc>
          <w:tcPr>
            <w:tcW w:w="9016" w:type="dxa"/>
            <w:shd w:val="clear" w:color="auto" w:fill="00B0F0"/>
          </w:tcPr>
          <w:p w14:paraId="35B91969" w14:textId="77777777" w:rsidR="00162654" w:rsidRDefault="00162654" w:rsidP="00162654">
            <w:pPr>
              <w:rPr>
                <w:rFonts w:ascii="Segoe UI" w:hAnsi="Segoe UI" w:cs="Segoe UI"/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</w:p>
          <w:p w14:paraId="21A50C5E" w14:textId="2AD1CA33" w:rsidR="00162654" w:rsidRDefault="00162654" w:rsidP="00162654">
            <w:pP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</w:pPr>
            <w:r w:rsidRPr="00162654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Complete the following </w:t>
            </w:r>
            <w:r w:rsidR="00A04E00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table</w:t>
            </w:r>
            <w:r w:rsidR="00B52E7A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s</w:t>
            </w:r>
            <w:r w:rsidR="00A04E00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162654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to confirm the applicability of legacy clause provisions to your generating station. Delete any </w:t>
            </w:r>
            <w:r w:rsidR="00A04E00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section that does not apply.</w:t>
            </w:r>
            <w:r w:rsidRPr="00162654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  <w:p w14:paraId="286CE2AD" w14:textId="77777777" w:rsidR="00162654" w:rsidRDefault="00162654" w:rsidP="00162654">
            <w:pP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</w:pPr>
          </w:p>
          <w:p w14:paraId="42196B26" w14:textId="4D254662" w:rsidR="00162654" w:rsidRPr="00162654" w:rsidRDefault="00FF5AAE" w:rsidP="00162654">
            <w:pP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In the </w:t>
            </w:r>
            <w:r w:rsidR="008B60D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appendix</w:t>
            </w:r>
            <w: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,</w:t>
            </w:r>
            <w:r w:rsidR="005315C8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explain</w:t>
            </w:r>
            <w:r w:rsidR="0047772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="00EA1B9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why your generating station cannot comply with </w:t>
            </w:r>
            <w: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the new obligations</w:t>
            </w:r>
            <w:r w:rsidR="00EA1B9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.</w:t>
            </w:r>
            <w:r w:rsidR="00684DBD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Include references to any</w:t>
            </w:r>
            <w:r w:rsidR="005315C8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other</w:t>
            </w:r>
            <w:r w:rsidR="00684DBD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relevant Code clauses</w:t>
            </w:r>
            <w:r w:rsidR="00E50F22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, subclauses, or Technical Codes</w:t>
            </w:r>
            <w:r w:rsidR="00684DBD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.</w:t>
            </w:r>
            <w: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="008B60D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When you attach supporting files to</w:t>
            </w:r>
            <w:r w:rsidR="00162654" w:rsidRPr="00162654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your Asset Capability Statement</w:t>
            </w:r>
            <w:r w:rsidR="008B60D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to endorse your explanations</w:t>
            </w:r>
            <w:r w:rsidR="00162654" w:rsidRPr="00162654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, ensure that the file name begins with the word “legacy” e.g. “Legacy Distributor Fault Ride-Through Study</w:t>
            </w:r>
            <w:r w:rsidR="0023003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.</w:t>
            </w:r>
            <w:r w:rsidR="00162654" w:rsidRPr="00162654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”</w:t>
            </w:r>
            <w:r w:rsidR="0023003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This will facilitate System Operator review processes.</w:t>
            </w:r>
            <w:r w:rsidR="00EF0B16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  <w:p w14:paraId="64307941" w14:textId="77777777" w:rsidR="00162654" w:rsidRPr="00162654" w:rsidRDefault="00162654" w:rsidP="00162654">
            <w:pPr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  <w:szCs w:val="22"/>
                <w:lang w:val="en-US"/>
              </w:rPr>
            </w:pPr>
          </w:p>
          <w:p w14:paraId="2B99C3F8" w14:textId="5F597CB1" w:rsidR="00162654" w:rsidRPr="00162654" w:rsidRDefault="00162654" w:rsidP="00162654">
            <w:pP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</w:pPr>
            <w:r w:rsidRPr="00162654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After attaching this template within your ACS, please send an email to </w:t>
            </w:r>
            <w:hyperlink r:id="rId7" w:history="1">
              <w:r w:rsidRPr="00162654">
                <w:rPr>
                  <w:rStyle w:val="Hyperlink"/>
                  <w:rFonts w:ascii="Segoe UI" w:hAnsi="Segoe UI" w:cs="Segoe UI"/>
                  <w:i/>
                  <w:iCs/>
                  <w:color w:val="FFFFFF" w:themeColor="background1"/>
                  <w:sz w:val="22"/>
                  <w:szCs w:val="22"/>
                  <w:lang w:val="en-US"/>
                </w:rPr>
                <w:t>compliance@transpower.co.nz</w:t>
              </w:r>
            </w:hyperlink>
            <w:r w:rsidRPr="00162654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with the subject line: “Legacy Status Note Added for [STATION 3 LETTER CODE]</w:t>
            </w:r>
            <w:r w:rsidR="00B430AD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”</w:t>
            </w:r>
          </w:p>
          <w:p w14:paraId="15635B54" w14:textId="77777777" w:rsidR="00162654" w:rsidRPr="0023003C" w:rsidRDefault="00162654" w:rsidP="00162654">
            <w:pP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</w:pPr>
          </w:p>
          <w:p w14:paraId="7924D695" w14:textId="1DEE0399" w:rsidR="007A2C05" w:rsidRPr="0023003C" w:rsidRDefault="007A2C05" w:rsidP="00162654">
            <w:pPr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</w:pPr>
            <w:r w:rsidRPr="0023003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You must update this document and notify the System Operator</w:t>
            </w:r>
            <w:r w:rsidR="0023003C" w:rsidRPr="0023003C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if there is any change to the compliance indicated.</w:t>
            </w:r>
            <w:r w:rsidR="00F36B76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 Note that certain conditions outlined in the decision papers linked below will </w:t>
            </w:r>
            <w:r w:rsidR="00EF0B16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  <w:lang w:val="en-US"/>
              </w:rPr>
              <w:t>invalidate any granted legacy clause provisions.</w:t>
            </w:r>
          </w:p>
          <w:p w14:paraId="49C2FF68" w14:textId="1A378926" w:rsidR="0023003C" w:rsidRDefault="0023003C" w:rsidP="00162654">
            <w:pPr>
              <w:rPr>
                <w:rFonts w:ascii="Segoe UI" w:hAnsi="Segoe UI" w:cs="Segoe UI"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6E7FAA08" w14:textId="77777777" w:rsidR="00D85989" w:rsidRDefault="00D85989">
      <w:pPr>
        <w:rPr>
          <w:rFonts w:ascii="Segoe UI" w:hAnsi="Segoe UI" w:cs="Segoe UI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20FA8" w14:paraId="68EBB307" w14:textId="77777777" w:rsidTr="00CD6EB6">
        <w:tc>
          <w:tcPr>
            <w:tcW w:w="3114" w:type="dxa"/>
          </w:tcPr>
          <w:p w14:paraId="16207984" w14:textId="63D2B15B" w:rsidR="00F20FA8" w:rsidRPr="00CD6EB6" w:rsidRDefault="00CD6EB6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CD6EB6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Asset Owner</w:t>
            </w:r>
          </w:p>
        </w:tc>
        <w:tc>
          <w:tcPr>
            <w:tcW w:w="5902" w:type="dxa"/>
          </w:tcPr>
          <w:p w14:paraId="76E27692" w14:textId="77777777" w:rsidR="00F20FA8" w:rsidRDefault="00F20FA8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20FA8" w14:paraId="7EB356C2" w14:textId="77777777" w:rsidTr="00CD6EB6">
        <w:tc>
          <w:tcPr>
            <w:tcW w:w="3114" w:type="dxa"/>
          </w:tcPr>
          <w:p w14:paraId="353FF447" w14:textId="4773AAD7" w:rsidR="00F20FA8" w:rsidRPr="00CD6EB6" w:rsidRDefault="00CD6EB6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CD6EB6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Generating Station</w:t>
            </w:r>
          </w:p>
        </w:tc>
        <w:tc>
          <w:tcPr>
            <w:tcW w:w="5902" w:type="dxa"/>
          </w:tcPr>
          <w:p w14:paraId="718B0E5F" w14:textId="77777777" w:rsidR="00F20FA8" w:rsidRDefault="00F20FA8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FD94192" w14:textId="77777777" w:rsidR="00F20FA8" w:rsidRPr="005C5182" w:rsidRDefault="00F20FA8">
      <w:pPr>
        <w:rPr>
          <w:rFonts w:ascii="Segoe UI" w:hAnsi="Segoe UI" w:cs="Segoe UI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66593" w14:paraId="39F30BC4" w14:textId="77777777" w:rsidTr="00CC1D9E">
        <w:tc>
          <w:tcPr>
            <w:tcW w:w="3114" w:type="dxa"/>
            <w:shd w:val="clear" w:color="auto" w:fill="CAEDFB" w:themeFill="accent4" w:themeFillTint="33"/>
          </w:tcPr>
          <w:p w14:paraId="0F369490" w14:textId="5D9AAA01" w:rsidR="00A66593" w:rsidRPr="00CC1D9E" w:rsidRDefault="00CC1D9E" w:rsidP="00CC1D9E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CC1D9E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Relevant Clause</w:t>
            </w:r>
          </w:p>
        </w:tc>
        <w:tc>
          <w:tcPr>
            <w:tcW w:w="5902" w:type="dxa"/>
            <w:shd w:val="clear" w:color="auto" w:fill="CAEDFB" w:themeFill="accent4" w:themeFillTint="33"/>
          </w:tcPr>
          <w:p w14:paraId="3BEE244A" w14:textId="5AD3BB6D" w:rsidR="00A66593" w:rsidRPr="00CC1D9E" w:rsidRDefault="00CC1D9E" w:rsidP="00CC1D9E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CC1D9E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Applicable Legacy Provision</w:t>
            </w:r>
          </w:p>
        </w:tc>
      </w:tr>
      <w:tr w:rsidR="00101A5C" w14:paraId="60F812E8" w14:textId="77777777" w:rsidTr="001E2BE7">
        <w:tc>
          <w:tcPr>
            <w:tcW w:w="3114" w:type="dxa"/>
          </w:tcPr>
          <w:p w14:paraId="39BBC65C" w14:textId="77777777" w:rsidR="00632E24" w:rsidRDefault="00632E24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1522C514" w14:textId="74CB6840" w:rsidR="001E2BE7" w:rsidRPr="00D43CB3" w:rsidRDefault="001E2BE7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D43CB3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Clause 8.21 </w:t>
            </w:r>
          </w:p>
          <w:p w14:paraId="791BD4BC" w14:textId="37CC3D98" w:rsidR="00632E24" w:rsidRDefault="00632E24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</w:tcPr>
          <w:p w14:paraId="54C9D895" w14:textId="77777777" w:rsidR="001E2BE7" w:rsidRDefault="001E2BE7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09677654" w14:textId="52C491C8" w:rsidR="00632E24" w:rsidRDefault="00A66593" w:rsidP="00632E24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Subclause (3)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en-US"/>
                </w:rPr>
                <w:id w:val="346217526"/>
                <w14:checkbox>
                  <w14:checked w14:val="0"/>
                  <w14:checkedState w14:val="2714" w14:font="Bahnschrift SemiBold SemiConden"/>
                  <w14:uncheckedState w14:val="2610" w14:font="MS Gothic"/>
                </w14:checkbox>
              </w:sdtPr>
              <w:sdtContent>
                <w:r w:rsidR="003B52AF">
                  <w:rPr>
                    <w:rFonts w:ascii="MS Gothic" w:eastAsia="MS Gothic" w:hAnsi="MS Gothic" w:cs="Segoe U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04E0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or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Subclause (4)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en-US"/>
                </w:rPr>
                <w:id w:val="-1532257725"/>
                <w14:checkbox>
                  <w14:checked w14:val="0"/>
                  <w14:checkedState w14:val="2714" w14:font="Bahnschrift SemiBold SemiConden"/>
                  <w14:uncheckedState w14:val="2610" w14:font="MS Gothic"/>
                </w14:checkbox>
              </w:sdtPr>
              <w:sdtContent>
                <w:r w:rsidR="003B52AF">
                  <w:rPr>
                    <w:rFonts w:ascii="MS Gothic" w:eastAsia="MS Gothic" w:hAnsi="MS Gothic" w:cs="Segoe U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3BBD1C6B" w14:textId="28B4C561" w:rsidR="00CC1D9E" w:rsidRDefault="00CC1D9E" w:rsidP="00632E24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101A5C" w14:paraId="67374082" w14:textId="77777777" w:rsidTr="001E2BE7">
        <w:tc>
          <w:tcPr>
            <w:tcW w:w="3114" w:type="dxa"/>
          </w:tcPr>
          <w:p w14:paraId="04C14DC8" w14:textId="77777777" w:rsidR="00632E24" w:rsidRPr="00CC1D9E" w:rsidRDefault="00632E24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920D797" w14:textId="1F3B09CC" w:rsidR="001E2BE7" w:rsidRPr="00D43CB3" w:rsidRDefault="001E2BE7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D43CB3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Schedule 8.3 Technical Code A </w:t>
            </w:r>
          </w:p>
          <w:p w14:paraId="59ACCF8F" w14:textId="77777777" w:rsidR="00632E24" w:rsidRDefault="00632E24" w:rsidP="00CC1D9E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5A39892" w14:textId="77777777" w:rsidR="005D0841" w:rsidRDefault="005D0841" w:rsidP="005D0841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CC1D9E">
              <w:rPr>
                <w:rFonts w:ascii="Segoe UI" w:hAnsi="Segoe UI" w:cs="Segoe UI"/>
                <w:sz w:val="20"/>
                <w:szCs w:val="20"/>
                <w:lang w:val="en-US"/>
              </w:rPr>
              <w:t>[For embedded generators only]</w:t>
            </w:r>
          </w:p>
          <w:p w14:paraId="27FA268C" w14:textId="5B711193" w:rsidR="005D0841" w:rsidRPr="00CC1D9E" w:rsidRDefault="005D0841" w:rsidP="00CC1D9E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</w:tcPr>
          <w:p w14:paraId="37450FE9" w14:textId="77777777" w:rsidR="001E2BE7" w:rsidRPr="00CC1D9E" w:rsidRDefault="001E2BE7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230BB6AC" w14:textId="48C3767E" w:rsidR="001E2BE7" w:rsidRPr="00CC1D9E" w:rsidRDefault="00CC1D9E" w:rsidP="00CC1D9E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CC1D9E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Clause 5 (2E)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en-US"/>
                </w:rPr>
                <w:id w:val="1111857706"/>
                <w14:checkbox>
                  <w14:checked w14:val="0"/>
                  <w14:checkedState w14:val="2714" w14:font="Bahnschrift SemiBold SemiConden"/>
                  <w14:uncheckedState w14:val="2610" w14:font="MS Gothic"/>
                </w14:checkbox>
              </w:sdtPr>
              <w:sdtContent>
                <w:r w:rsidR="0063305E">
                  <w:rPr>
                    <w:rFonts w:ascii="MS Gothic" w:eastAsia="MS Gothic" w:hAnsi="MS Gothic" w:cs="Segoe U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75AB9E41" w14:textId="77777777" w:rsidR="001E2BE7" w:rsidRPr="00CC1D9E" w:rsidRDefault="001E2BE7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459801B1" w14:textId="77777777" w:rsidR="00CC1D9E" w:rsidRPr="00CC1D9E" w:rsidRDefault="00CC1D9E" w:rsidP="00CC1D9E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CC1D9E">
              <w:rPr>
                <w:rFonts w:ascii="Segoe UI" w:hAnsi="Segoe UI" w:cs="Segoe UI"/>
                <w:sz w:val="20"/>
                <w:szCs w:val="20"/>
                <w:lang w:val="en-US"/>
              </w:rPr>
              <w:t>[If applicable, explain and provide direction given by distributor]</w:t>
            </w:r>
          </w:p>
          <w:p w14:paraId="42A5A1A6" w14:textId="5BC1B92C" w:rsidR="00CC1D9E" w:rsidRPr="00CC1D9E" w:rsidRDefault="00CC1D9E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101A5C" w14:paraId="491860AB" w14:textId="77777777" w:rsidTr="001E2BE7">
        <w:tc>
          <w:tcPr>
            <w:tcW w:w="3114" w:type="dxa"/>
          </w:tcPr>
          <w:p w14:paraId="6445737E" w14:textId="77777777" w:rsidR="00632E24" w:rsidRDefault="00632E24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2D9CEBC9" w14:textId="3454093D" w:rsidR="00632E24" w:rsidRPr="00D43CB3" w:rsidRDefault="00632E24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D43CB3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Clause 8.75</w:t>
            </w:r>
          </w:p>
          <w:p w14:paraId="4DB2A7F2" w14:textId="6A2B5D05" w:rsidR="00632E24" w:rsidRDefault="00632E24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5902" w:type="dxa"/>
          </w:tcPr>
          <w:p w14:paraId="260335FC" w14:textId="77777777" w:rsidR="00CC1D9E" w:rsidRDefault="00CC1D9E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020AF307" w14:textId="5A8F8FD1" w:rsidR="001E2BE7" w:rsidRDefault="00CC1D9E" w:rsidP="00CC1D9E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Subclause (1)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en-US"/>
                </w:rPr>
                <w:id w:val="2087490499"/>
                <w14:checkbox>
                  <w14:checked w14:val="0"/>
                  <w14:checkedState w14:val="2714" w14:font="Bahnschrift SemiBold SemiConde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04E0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or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Subclause (2)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en-US"/>
                </w:rPr>
                <w:id w:val="-1505123976"/>
                <w14:checkbox>
                  <w14:checked w14:val="0"/>
                  <w14:checkedState w14:val="2714" w14:font="Bahnschrift SemiBold SemiConde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59E1DE42" w14:textId="77777777" w:rsidR="00CC1D9E" w:rsidRDefault="00CC1D9E" w:rsidP="00CC1D9E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</w:tbl>
    <w:p w14:paraId="437C9EFC" w14:textId="77777777" w:rsidR="00946BBD" w:rsidRDefault="00946BBD" w:rsidP="00A25675">
      <w:pPr>
        <w:rPr>
          <w:rFonts w:ascii="Segoe UI" w:hAnsi="Segoe UI" w:cs="Segoe UI"/>
          <w:sz w:val="20"/>
          <w:szCs w:val="20"/>
          <w:lang w:val="en-US"/>
        </w:rPr>
      </w:pPr>
    </w:p>
    <w:p w14:paraId="1CE8D087" w14:textId="54E8697B" w:rsidR="00CC3191" w:rsidRPr="009F7EDB" w:rsidRDefault="00CC3191" w:rsidP="00A25675">
      <w:pPr>
        <w:rPr>
          <w:rFonts w:ascii="Segoe UI" w:hAnsi="Segoe UI" w:cs="Segoe UI"/>
          <w:b/>
          <w:bCs/>
          <w:i/>
          <w:iCs/>
          <w:sz w:val="20"/>
          <w:szCs w:val="20"/>
          <w:lang w:val="en-US"/>
        </w:rPr>
      </w:pPr>
      <w:r w:rsidRPr="009F7EDB">
        <w:rPr>
          <w:rFonts w:ascii="Segoe UI" w:hAnsi="Segoe UI" w:cs="Segoe UI"/>
          <w:b/>
          <w:bCs/>
          <w:i/>
          <w:iCs/>
          <w:sz w:val="20"/>
          <w:szCs w:val="20"/>
          <w:lang w:val="en-US"/>
        </w:rPr>
        <w:t>References:</w:t>
      </w:r>
    </w:p>
    <w:p w14:paraId="1757DEC2" w14:textId="5BE9AC8E" w:rsidR="00CC1D9E" w:rsidRDefault="00CC1D9E" w:rsidP="00CC1D9E">
      <w:pPr>
        <w:rPr>
          <w:rFonts w:ascii="Segoe UI" w:hAnsi="Segoe UI" w:cs="Segoe UI"/>
          <w:sz w:val="20"/>
          <w:szCs w:val="20"/>
          <w:lang w:val="en-US"/>
        </w:rPr>
      </w:pPr>
      <w:r w:rsidRPr="005C5182">
        <w:rPr>
          <w:rFonts w:ascii="Segoe UI" w:hAnsi="Segoe UI" w:cs="Segoe UI"/>
          <w:b/>
          <w:bCs/>
          <w:sz w:val="20"/>
          <w:szCs w:val="20"/>
          <w:lang w:val="en-US"/>
        </w:rPr>
        <w:t>Frequency Obligations</w:t>
      </w:r>
      <w:r w:rsidR="009F7EDB">
        <w:rPr>
          <w:rFonts w:ascii="Segoe UI" w:hAnsi="Segoe UI" w:cs="Segoe UI"/>
          <w:b/>
          <w:bCs/>
          <w:sz w:val="20"/>
          <w:szCs w:val="20"/>
          <w:lang w:val="en-US"/>
        </w:rPr>
        <w:t>:</w:t>
      </w:r>
      <w:r>
        <w:rPr>
          <w:rFonts w:ascii="Segoe UI" w:hAnsi="Segoe UI" w:cs="Segoe UI"/>
          <w:sz w:val="20"/>
          <w:szCs w:val="20"/>
          <w:lang w:val="en-US"/>
        </w:rPr>
        <w:t xml:space="preserve"> see </w:t>
      </w:r>
      <w:hyperlink r:id="rId8" w:history="1">
        <w:r w:rsidRPr="0002747B">
          <w:rPr>
            <w:rStyle w:val="Hyperlink"/>
            <w:rFonts w:ascii="Segoe UI" w:hAnsi="Segoe UI" w:cs="Segoe UI"/>
            <w:sz w:val="20"/>
            <w:szCs w:val="20"/>
            <w:lang w:val="en-US"/>
          </w:rPr>
          <w:t>Frequency-related Code amendment</w:t>
        </w:r>
        <w:r>
          <w:rPr>
            <w:rStyle w:val="Hyperlink"/>
            <w:rFonts w:ascii="Segoe UI" w:hAnsi="Segoe UI" w:cs="Segoe UI"/>
            <w:sz w:val="20"/>
            <w:szCs w:val="20"/>
            <w:lang w:val="en-US"/>
          </w:rPr>
          <w:t>s Decision Paper</w:t>
        </w:r>
      </w:hyperlink>
      <w:r>
        <w:rPr>
          <w:rFonts w:ascii="Segoe UI" w:hAnsi="Segoe UI" w:cs="Segoe UI"/>
          <w:sz w:val="20"/>
          <w:szCs w:val="20"/>
          <w:lang w:val="en-US"/>
        </w:rPr>
        <w:t xml:space="preserve"> p. 27 </w:t>
      </w:r>
    </w:p>
    <w:p w14:paraId="21097984" w14:textId="0EA8990D" w:rsidR="00CC1D9E" w:rsidRDefault="00CC1D9E" w:rsidP="00CC1D9E">
      <w:pPr>
        <w:rPr>
          <w:rFonts w:ascii="Segoe UI" w:hAnsi="Segoe UI" w:cs="Segoe UI"/>
          <w:sz w:val="20"/>
          <w:szCs w:val="20"/>
          <w:lang w:val="en-US"/>
        </w:rPr>
      </w:pPr>
      <w:r w:rsidRPr="005C5182">
        <w:rPr>
          <w:rFonts w:ascii="Segoe UI" w:hAnsi="Segoe UI" w:cs="Segoe UI"/>
          <w:b/>
          <w:bCs/>
          <w:sz w:val="20"/>
          <w:szCs w:val="20"/>
          <w:lang w:val="en-US"/>
        </w:rPr>
        <w:t>Voltage Obligations</w:t>
      </w:r>
      <w:r w:rsidR="009F7EDB">
        <w:rPr>
          <w:rFonts w:ascii="Segoe UI" w:hAnsi="Segoe UI" w:cs="Segoe UI"/>
          <w:sz w:val="20"/>
          <w:szCs w:val="20"/>
          <w:lang w:val="en-US"/>
        </w:rPr>
        <w:t>:</w:t>
      </w:r>
      <w:r>
        <w:rPr>
          <w:rFonts w:ascii="Segoe UI" w:hAnsi="Segoe UI" w:cs="Segoe UI"/>
          <w:sz w:val="20"/>
          <w:szCs w:val="20"/>
          <w:lang w:val="en-US"/>
        </w:rPr>
        <w:t xml:space="preserve"> see </w:t>
      </w:r>
      <w:hyperlink r:id="rId9" w:history="1">
        <w:r w:rsidRPr="00AA67B8">
          <w:rPr>
            <w:rStyle w:val="Hyperlink"/>
            <w:rFonts w:ascii="Segoe UI" w:hAnsi="Segoe UI" w:cs="Segoe UI"/>
            <w:sz w:val="20"/>
            <w:szCs w:val="20"/>
            <w:lang w:val="en-US"/>
          </w:rPr>
          <w:t>Voltage-related Code amendments Decision Paper</w:t>
        </w:r>
      </w:hyperlink>
      <w:r>
        <w:rPr>
          <w:rFonts w:ascii="Segoe UI" w:hAnsi="Segoe UI" w:cs="Segoe UI"/>
          <w:sz w:val="20"/>
          <w:szCs w:val="20"/>
          <w:lang w:val="en-US"/>
        </w:rPr>
        <w:t xml:space="preserve"> p. 38-39, p. 41-43</w:t>
      </w:r>
    </w:p>
    <w:p w14:paraId="038789E9" w14:textId="77777777" w:rsidR="00CC1D9E" w:rsidRDefault="00CC1D9E" w:rsidP="00CC1D9E">
      <w:pPr>
        <w:rPr>
          <w:rFonts w:ascii="Segoe UI" w:hAnsi="Segoe UI" w:cs="Segoe UI"/>
          <w:sz w:val="20"/>
          <w:szCs w:val="20"/>
          <w:lang w:val="en-US"/>
        </w:rPr>
      </w:pPr>
      <w:r w:rsidRPr="005C5182">
        <w:rPr>
          <w:rFonts w:ascii="Segoe UI" w:hAnsi="Segoe UI" w:cs="Segoe UI"/>
          <w:b/>
          <w:bCs/>
          <w:sz w:val="20"/>
          <w:szCs w:val="20"/>
          <w:lang w:val="en-US"/>
        </w:rPr>
        <w:t>Connected Asset Commissioning, Testing and Information Standard (CACTIS) Obligations</w:t>
      </w:r>
      <w:r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>
        <w:rPr>
          <w:rFonts w:ascii="Segoe UI" w:hAnsi="Segoe UI" w:cs="Segoe UI"/>
          <w:sz w:val="20"/>
          <w:szCs w:val="20"/>
          <w:lang w:val="en-US"/>
        </w:rPr>
        <w:t xml:space="preserve">– see </w:t>
      </w:r>
      <w:hyperlink r:id="rId10" w:history="1">
        <w:r w:rsidRPr="00BB14C0">
          <w:rPr>
            <w:rStyle w:val="Hyperlink"/>
            <w:rFonts w:ascii="Segoe UI" w:hAnsi="Segoe UI" w:cs="Segoe UI"/>
            <w:sz w:val="20"/>
            <w:szCs w:val="20"/>
            <w:lang w:val="en-US"/>
          </w:rPr>
          <w:t>CACTIS Decision Paper</w:t>
        </w:r>
      </w:hyperlink>
      <w:r>
        <w:rPr>
          <w:rFonts w:ascii="Segoe UI" w:hAnsi="Segoe UI" w:cs="Segoe UI"/>
          <w:sz w:val="20"/>
          <w:szCs w:val="20"/>
          <w:lang w:val="en-US"/>
        </w:rPr>
        <w:t xml:space="preserve"> p. 39-40</w:t>
      </w:r>
    </w:p>
    <w:p w14:paraId="3C36A4AA" w14:textId="77777777" w:rsidR="00CC1D9E" w:rsidRDefault="00CC1D9E" w:rsidP="00A25675">
      <w:pPr>
        <w:rPr>
          <w:rFonts w:ascii="Segoe UI" w:hAnsi="Segoe UI" w:cs="Segoe UI"/>
          <w:sz w:val="20"/>
          <w:szCs w:val="20"/>
          <w:lang w:val="en-US"/>
        </w:rPr>
      </w:pPr>
    </w:p>
    <w:p w14:paraId="237BE1E0" w14:textId="45C56F19" w:rsidR="003E2CFC" w:rsidRPr="003E2CFC" w:rsidRDefault="00F02C62" w:rsidP="00A25675">
      <w:pPr>
        <w:rPr>
          <w:rFonts w:ascii="Segoe UI" w:hAnsi="Segoe UI" w:cs="Segoe UI"/>
          <w:b/>
          <w:bCs/>
          <w:sz w:val="28"/>
          <w:szCs w:val="28"/>
          <w:lang w:val="en-US"/>
        </w:rPr>
      </w:pPr>
      <w:r w:rsidRPr="003E2CFC">
        <w:rPr>
          <w:rFonts w:ascii="Segoe UI" w:hAnsi="Segoe UI" w:cs="Segoe UI"/>
          <w:b/>
          <w:bCs/>
          <w:sz w:val="28"/>
          <w:szCs w:val="28"/>
          <w:lang w:val="en-US"/>
        </w:rPr>
        <w:lastRenderedPageBreak/>
        <w:t>A</w:t>
      </w:r>
      <w:r w:rsidR="003E2CFC">
        <w:rPr>
          <w:rFonts w:ascii="Segoe UI" w:hAnsi="Segoe UI" w:cs="Segoe UI"/>
          <w:b/>
          <w:bCs/>
          <w:sz w:val="28"/>
          <w:szCs w:val="28"/>
          <w:lang w:val="en-US"/>
        </w:rPr>
        <w:t>ppendix</w:t>
      </w:r>
    </w:p>
    <w:p w14:paraId="1A72A1C2" w14:textId="3F2B0071" w:rsidR="000E2CC5" w:rsidRPr="00EF0B16" w:rsidRDefault="000E2CC5">
      <w:pPr>
        <w:rPr>
          <w:b/>
          <w:bCs/>
          <w:i/>
          <w:iCs/>
          <w:lang w:val="en-US"/>
        </w:rPr>
      </w:pPr>
    </w:p>
    <w:p w14:paraId="30933B26" w14:textId="444E1C6E" w:rsidR="000E2CC5" w:rsidRDefault="000E2CC5">
      <w:pPr>
        <w:rPr>
          <w:b/>
          <w:bCs/>
          <w:lang w:val="en-US"/>
        </w:rPr>
      </w:pPr>
    </w:p>
    <w:p w14:paraId="62F18A94" w14:textId="03A583FA" w:rsidR="000E2CC5" w:rsidRDefault="000E2CC5">
      <w:pPr>
        <w:rPr>
          <w:b/>
          <w:bCs/>
          <w:lang w:val="en-US"/>
        </w:rPr>
      </w:pPr>
    </w:p>
    <w:p w14:paraId="5A90B4CF" w14:textId="77777777" w:rsidR="00630A43" w:rsidRDefault="00630A43">
      <w:pPr>
        <w:rPr>
          <w:b/>
          <w:bCs/>
          <w:lang w:val="en-US"/>
        </w:rPr>
      </w:pPr>
    </w:p>
    <w:p w14:paraId="38B97265" w14:textId="4A408A03" w:rsidR="00630A43" w:rsidRDefault="00630A43">
      <w:pPr>
        <w:rPr>
          <w:b/>
          <w:bCs/>
          <w:lang w:val="en-US"/>
        </w:rPr>
      </w:pPr>
    </w:p>
    <w:p w14:paraId="6F7E02A4" w14:textId="77777777" w:rsidR="00BD2116" w:rsidRDefault="00BD2116">
      <w:pPr>
        <w:rPr>
          <w:b/>
          <w:bCs/>
          <w:lang w:val="en-US"/>
        </w:rPr>
      </w:pPr>
    </w:p>
    <w:p w14:paraId="1A4F0BF1" w14:textId="77777777" w:rsidR="00BD2116" w:rsidRPr="00245C95" w:rsidRDefault="00BD2116">
      <w:pPr>
        <w:rPr>
          <w:b/>
          <w:bCs/>
          <w:lang w:val="en-US"/>
        </w:rPr>
      </w:pPr>
    </w:p>
    <w:sectPr w:rsidR="00BD2116" w:rsidRPr="00245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AA71" w14:textId="77777777" w:rsidR="00C71D50" w:rsidRDefault="00C71D50" w:rsidP="00294BC2">
      <w:pPr>
        <w:spacing w:after="0" w:line="240" w:lineRule="auto"/>
      </w:pPr>
      <w:r>
        <w:separator/>
      </w:r>
    </w:p>
  </w:endnote>
  <w:endnote w:type="continuationSeparator" w:id="0">
    <w:p w14:paraId="3265F713" w14:textId="77777777" w:rsidR="00C71D50" w:rsidRDefault="00C71D50" w:rsidP="0029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2513" w14:textId="77777777" w:rsidR="00C71D50" w:rsidRDefault="00C71D50" w:rsidP="00294BC2">
      <w:pPr>
        <w:spacing w:after="0" w:line="240" w:lineRule="auto"/>
      </w:pPr>
      <w:r>
        <w:separator/>
      </w:r>
    </w:p>
  </w:footnote>
  <w:footnote w:type="continuationSeparator" w:id="0">
    <w:p w14:paraId="43094E5F" w14:textId="77777777" w:rsidR="00C71D50" w:rsidRDefault="00C71D50" w:rsidP="0029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D6B2F"/>
    <w:multiLevelType w:val="hybridMultilevel"/>
    <w:tmpl w:val="AE30DA08"/>
    <w:lvl w:ilvl="0" w:tplc="A0929464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66737">
    <w:abstractNumId w:val="0"/>
  </w:num>
  <w:num w:numId="2" w16cid:durableId="2704796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4"/>
    <w:rsid w:val="00013BD1"/>
    <w:rsid w:val="0002221E"/>
    <w:rsid w:val="0002747B"/>
    <w:rsid w:val="00070F01"/>
    <w:rsid w:val="000B79A2"/>
    <w:rsid w:val="000B7ABE"/>
    <w:rsid w:val="000C0F9D"/>
    <w:rsid w:val="000D654E"/>
    <w:rsid w:val="000E29BC"/>
    <w:rsid w:val="000E2CC5"/>
    <w:rsid w:val="00101A5C"/>
    <w:rsid w:val="001022D0"/>
    <w:rsid w:val="00162654"/>
    <w:rsid w:val="0018551C"/>
    <w:rsid w:val="001A6F41"/>
    <w:rsid w:val="001D6C29"/>
    <w:rsid w:val="001E2BE7"/>
    <w:rsid w:val="001F1E26"/>
    <w:rsid w:val="001F2459"/>
    <w:rsid w:val="00221BE2"/>
    <w:rsid w:val="0023003C"/>
    <w:rsid w:val="002301D2"/>
    <w:rsid w:val="00245C95"/>
    <w:rsid w:val="00252B0A"/>
    <w:rsid w:val="00285C41"/>
    <w:rsid w:val="00294BC2"/>
    <w:rsid w:val="002A40FA"/>
    <w:rsid w:val="002A7A6D"/>
    <w:rsid w:val="002F5A8C"/>
    <w:rsid w:val="00303B8C"/>
    <w:rsid w:val="00345E5D"/>
    <w:rsid w:val="00347E08"/>
    <w:rsid w:val="003760C2"/>
    <w:rsid w:val="00385EFD"/>
    <w:rsid w:val="00394449"/>
    <w:rsid w:val="003A466C"/>
    <w:rsid w:val="003B52AF"/>
    <w:rsid w:val="003C6218"/>
    <w:rsid w:val="003E2CFC"/>
    <w:rsid w:val="00407D85"/>
    <w:rsid w:val="00412236"/>
    <w:rsid w:val="0047772C"/>
    <w:rsid w:val="0051419E"/>
    <w:rsid w:val="005315C8"/>
    <w:rsid w:val="005441CA"/>
    <w:rsid w:val="0056070A"/>
    <w:rsid w:val="00577164"/>
    <w:rsid w:val="005B4986"/>
    <w:rsid w:val="005B585B"/>
    <w:rsid w:val="005C5182"/>
    <w:rsid w:val="005D0841"/>
    <w:rsid w:val="005D4948"/>
    <w:rsid w:val="005F4536"/>
    <w:rsid w:val="00615B36"/>
    <w:rsid w:val="00615BCE"/>
    <w:rsid w:val="00617A25"/>
    <w:rsid w:val="00620B50"/>
    <w:rsid w:val="00630A43"/>
    <w:rsid w:val="00632E24"/>
    <w:rsid w:val="0063305E"/>
    <w:rsid w:val="00653C97"/>
    <w:rsid w:val="00666F7F"/>
    <w:rsid w:val="00684DBD"/>
    <w:rsid w:val="006941FC"/>
    <w:rsid w:val="006A4830"/>
    <w:rsid w:val="006F097E"/>
    <w:rsid w:val="006F1684"/>
    <w:rsid w:val="00712112"/>
    <w:rsid w:val="00716D56"/>
    <w:rsid w:val="00725EB2"/>
    <w:rsid w:val="007353D4"/>
    <w:rsid w:val="00753B92"/>
    <w:rsid w:val="007723CF"/>
    <w:rsid w:val="00781B4A"/>
    <w:rsid w:val="0079202F"/>
    <w:rsid w:val="0079791B"/>
    <w:rsid w:val="007A2C05"/>
    <w:rsid w:val="007B6EBD"/>
    <w:rsid w:val="007E08D5"/>
    <w:rsid w:val="00802542"/>
    <w:rsid w:val="00867D86"/>
    <w:rsid w:val="008B60DC"/>
    <w:rsid w:val="008D5B36"/>
    <w:rsid w:val="008E6656"/>
    <w:rsid w:val="008F05D6"/>
    <w:rsid w:val="008F58F1"/>
    <w:rsid w:val="00925E11"/>
    <w:rsid w:val="00934E5D"/>
    <w:rsid w:val="00936F29"/>
    <w:rsid w:val="00946BBD"/>
    <w:rsid w:val="009514E1"/>
    <w:rsid w:val="00967AA9"/>
    <w:rsid w:val="009B45D6"/>
    <w:rsid w:val="009B6395"/>
    <w:rsid w:val="009C31C1"/>
    <w:rsid w:val="009C57AC"/>
    <w:rsid w:val="009E04EA"/>
    <w:rsid w:val="009E0F0B"/>
    <w:rsid w:val="009F7EDB"/>
    <w:rsid w:val="00A04E00"/>
    <w:rsid w:val="00A25675"/>
    <w:rsid w:val="00A66593"/>
    <w:rsid w:val="00A73BCB"/>
    <w:rsid w:val="00A81518"/>
    <w:rsid w:val="00A87FE4"/>
    <w:rsid w:val="00A9299E"/>
    <w:rsid w:val="00A92EF6"/>
    <w:rsid w:val="00AA6265"/>
    <w:rsid w:val="00AA67B8"/>
    <w:rsid w:val="00AE79D7"/>
    <w:rsid w:val="00AF63C7"/>
    <w:rsid w:val="00AF74F3"/>
    <w:rsid w:val="00B02299"/>
    <w:rsid w:val="00B27F5D"/>
    <w:rsid w:val="00B430AD"/>
    <w:rsid w:val="00B44188"/>
    <w:rsid w:val="00B50334"/>
    <w:rsid w:val="00B50B5F"/>
    <w:rsid w:val="00B52E7A"/>
    <w:rsid w:val="00B53CAA"/>
    <w:rsid w:val="00B90A25"/>
    <w:rsid w:val="00B95313"/>
    <w:rsid w:val="00BB08B1"/>
    <w:rsid w:val="00BB14C0"/>
    <w:rsid w:val="00BC4CC8"/>
    <w:rsid w:val="00BD2116"/>
    <w:rsid w:val="00BE5469"/>
    <w:rsid w:val="00BF3816"/>
    <w:rsid w:val="00C0654D"/>
    <w:rsid w:val="00C201FA"/>
    <w:rsid w:val="00C23060"/>
    <w:rsid w:val="00C318E7"/>
    <w:rsid w:val="00C54CA5"/>
    <w:rsid w:val="00C6049B"/>
    <w:rsid w:val="00C623AF"/>
    <w:rsid w:val="00C71D50"/>
    <w:rsid w:val="00C82095"/>
    <w:rsid w:val="00CB6858"/>
    <w:rsid w:val="00CC1D9E"/>
    <w:rsid w:val="00CC3191"/>
    <w:rsid w:val="00CD2845"/>
    <w:rsid w:val="00CD654F"/>
    <w:rsid w:val="00CD6EB6"/>
    <w:rsid w:val="00CF64B8"/>
    <w:rsid w:val="00D03299"/>
    <w:rsid w:val="00D1534B"/>
    <w:rsid w:val="00D179C6"/>
    <w:rsid w:val="00D20EF3"/>
    <w:rsid w:val="00D317E3"/>
    <w:rsid w:val="00D32952"/>
    <w:rsid w:val="00D43CB3"/>
    <w:rsid w:val="00D60F34"/>
    <w:rsid w:val="00D721B1"/>
    <w:rsid w:val="00D76129"/>
    <w:rsid w:val="00D81B64"/>
    <w:rsid w:val="00D83953"/>
    <w:rsid w:val="00D85989"/>
    <w:rsid w:val="00DE19C6"/>
    <w:rsid w:val="00DF5F9F"/>
    <w:rsid w:val="00E00387"/>
    <w:rsid w:val="00E01C54"/>
    <w:rsid w:val="00E1622B"/>
    <w:rsid w:val="00E17404"/>
    <w:rsid w:val="00E2085D"/>
    <w:rsid w:val="00E2387E"/>
    <w:rsid w:val="00E26813"/>
    <w:rsid w:val="00E37CEB"/>
    <w:rsid w:val="00E50F22"/>
    <w:rsid w:val="00E576A7"/>
    <w:rsid w:val="00E579DA"/>
    <w:rsid w:val="00E70626"/>
    <w:rsid w:val="00EA1B9C"/>
    <w:rsid w:val="00ED36CE"/>
    <w:rsid w:val="00EF0B16"/>
    <w:rsid w:val="00F02C62"/>
    <w:rsid w:val="00F20FA8"/>
    <w:rsid w:val="00F36B76"/>
    <w:rsid w:val="00F47F54"/>
    <w:rsid w:val="00F72475"/>
    <w:rsid w:val="00F72524"/>
    <w:rsid w:val="00FD11A1"/>
    <w:rsid w:val="00FE5CAD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E21ED"/>
  <w15:chartTrackingRefBased/>
  <w15:docId w15:val="{50FFD726-EF8A-4B4C-8F1F-524CAF6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6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4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BC2"/>
  </w:style>
  <w:style w:type="paragraph" w:styleId="Footer">
    <w:name w:val="footer"/>
    <w:basedOn w:val="Normal"/>
    <w:link w:val="FooterChar"/>
    <w:uiPriority w:val="99"/>
    <w:unhideWhenUsed/>
    <w:rsid w:val="00294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BC2"/>
  </w:style>
  <w:style w:type="character" w:styleId="Hyperlink">
    <w:name w:val="Hyperlink"/>
    <w:basedOn w:val="DefaultParagraphFont"/>
    <w:uiPriority w:val="99"/>
    <w:unhideWhenUsed/>
    <w:rsid w:val="001022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2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rsid w:val="00F47F54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6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.govt.nz/documents/9422/Promoting_reliable_electricity_supply_-_Frequency-related_Code_amendments_-_De_WfxQ2HR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liance@transpower.co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a.govt.nz/documents/9519/Connected_Asset_Commissioning_Testing_and_Information_Standard-_Decision_paper_-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.govt.nz/documents/9421/Promoting_reliable_electricity_supply_-_A_voltage-related_Code_amendment_-_Dec_OFpOip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1457</Characters>
  <Application>Microsoft Office Word</Application>
  <DocSecurity>0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Cucerzan</dc:creator>
  <cp:keywords/>
  <dc:description/>
  <cp:lastModifiedBy>Jaki Du Preez</cp:lastModifiedBy>
  <cp:revision>3</cp:revision>
  <cp:lastPrinted>2026-04-06T22:22:00Z</cp:lastPrinted>
  <dcterms:created xsi:type="dcterms:W3CDTF">2026-04-06T23:33:00Z</dcterms:created>
  <dcterms:modified xsi:type="dcterms:W3CDTF">2026-04-06T23:33:00Z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04e64-2eb9-4143-98d1-ab3085e5d939_Enabled">
    <vt:lpwstr>true</vt:lpwstr>
  </property>
  <property fmtid="{D5CDD505-2E9C-101B-9397-08002B2CF9AE}" pid="3" name="MSIP_Label_ec504e64-2eb9-4143-98d1-ab3085e5d939_SetDate">
    <vt:lpwstr>2026-03-30T04:01:45Z</vt:lpwstr>
  </property>
  <property fmtid="{D5CDD505-2E9C-101B-9397-08002B2CF9AE}" pid="4" name="MSIP_Label_ec504e64-2eb9-4143-98d1-ab3085e5d939_Method">
    <vt:lpwstr>Standard</vt:lpwstr>
  </property>
  <property fmtid="{D5CDD505-2E9C-101B-9397-08002B2CF9AE}" pid="5" name="MSIP_Label_ec504e64-2eb9-4143-98d1-ab3085e5d939_Name">
    <vt:lpwstr>ec504e64-2eb9-4143-98d1-ab3085e5d939</vt:lpwstr>
  </property>
  <property fmtid="{D5CDD505-2E9C-101B-9397-08002B2CF9AE}" pid="6" name="MSIP_Label_ec504e64-2eb9-4143-98d1-ab3085e5d939_SiteId">
    <vt:lpwstr>cb644580-6519-46f6-a00f-5bac4352068f</vt:lpwstr>
  </property>
  <property fmtid="{D5CDD505-2E9C-101B-9397-08002B2CF9AE}" pid="7" name="MSIP_Label_ec504e64-2eb9-4143-98d1-ab3085e5d939_ActionId">
    <vt:lpwstr>96cca1bf-f46b-46f0-996e-1134d91b72f6</vt:lpwstr>
  </property>
  <property fmtid="{D5CDD505-2E9C-101B-9397-08002B2CF9AE}" pid="8" name="MSIP_Label_ec504e64-2eb9-4143-98d1-ab3085e5d939_ContentBits">
    <vt:lpwstr>0</vt:lpwstr>
  </property>
  <property fmtid="{D5CDD505-2E9C-101B-9397-08002B2CF9AE}" pid="9" name="MSIP_Label_ec504e64-2eb9-4143-98d1-ab3085e5d939_Tag">
    <vt:lpwstr>10, 3, 0, 1</vt:lpwstr>
  </property>
</Properties>
</file>